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u w:val="singl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u w:val="single"/>
          <w:lang w:val="en-US" w:eastAsia="zh-CN"/>
        </w:rPr>
        <w:t>202304</w:t>
      </w:r>
      <w:r>
        <w:rPr>
          <w:rFonts w:hint="eastAsia" w:ascii="宋体" w:hAnsi="宋体" w:cs="Arial"/>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物信学院手套箱体改造等设备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物理与信息工程学院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2023</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11 </w:t>
      </w:r>
      <w:r>
        <w:rPr>
          <w:rFonts w:hint="eastAsia" w:ascii="宋体" w:hAnsi="宋体"/>
          <w:b/>
          <w:color w:val="auto"/>
          <w:sz w:val="36"/>
          <w:szCs w:val="36"/>
          <w:highlight w:val="none"/>
        </w:rPr>
        <w:t>月</w:t>
      </w:r>
    </w:p>
    <w:p>
      <w:pPr>
        <w:pStyle w:val="23"/>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10914"/>
      <w:bookmarkStart w:id="1" w:name="_Toc18223"/>
      <w:bookmarkStart w:id="2" w:name="_Toc9763"/>
      <w:bookmarkStart w:id="3" w:name="_Toc26208"/>
      <w:bookmarkStart w:id="4" w:name="_Toc134733479"/>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53570175"/>
      <w:bookmarkStart w:id="6" w:name="_Toc33775520"/>
      <w:bookmarkStart w:id="7" w:name="_Toc36146204"/>
      <w:bookmarkStart w:id="8" w:name="_Toc34789935"/>
      <w:bookmarkStart w:id="9" w:name="_Toc425276503"/>
      <w:bookmarkStart w:id="10" w:name="_Toc35071897"/>
      <w:bookmarkStart w:id="11" w:name="_Toc108260365"/>
      <w:bookmarkStart w:id="12" w:name="_Toc53335577"/>
      <w:bookmarkStart w:id="13" w:name="_Toc3785675"/>
      <w:bookmarkStart w:id="14" w:name="_Toc34664278"/>
      <w:bookmarkStart w:id="15" w:name="_Toc108257590"/>
      <w:bookmarkStart w:id="16" w:name="_Toc34745149"/>
      <w:bookmarkStart w:id="17" w:name="_Toc35222536"/>
      <w:bookmarkStart w:id="18" w:name="_Toc93397582"/>
      <w:bookmarkStart w:id="19" w:name="_Toc108257116"/>
      <w:bookmarkStart w:id="20" w:name="_Toc54513051"/>
      <w:bookmarkStart w:id="21" w:name="_Toc35622007"/>
      <w:bookmarkStart w:id="22" w:name="_Toc3785637"/>
      <w:bookmarkStart w:id="23" w:name="_Toc35941127"/>
      <w:bookmarkStart w:id="24" w:name="_Toc34703823"/>
      <w:bookmarkStart w:id="25" w:name="_Toc98731630"/>
      <w:bookmarkStart w:id="26" w:name="_Toc33953164"/>
      <w:bookmarkStart w:id="27" w:name="_Toc36123671"/>
      <w:bookmarkStart w:id="28" w:name="_Toc35107772"/>
      <w:bookmarkStart w:id="29" w:name="_Toc60130052"/>
      <w:bookmarkStart w:id="30" w:name="_Toc3785461"/>
      <w:bookmarkStart w:id="31" w:name="_Toc3785513"/>
      <w:bookmarkStart w:id="32" w:name="_Toc35599967"/>
      <w:bookmarkStart w:id="33" w:name="_Toc87857945"/>
      <w:bookmarkStart w:id="34" w:name="_Toc98672988"/>
      <w:bookmarkStart w:id="35" w:name="_Toc108257466"/>
      <w:bookmarkStart w:id="36" w:name="_Toc108257397"/>
      <w:bookmarkStart w:id="37" w:name="_Toc105389203"/>
      <w:bookmarkStart w:id="38" w:name="_Toc35068743"/>
      <w:bookmarkStart w:id="39" w:name="_Toc93397984"/>
      <w:bookmarkStart w:id="40" w:name="_Toc40761347"/>
      <w:bookmarkStart w:id="41" w:name="_Toc35742634"/>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物信学院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202304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物信学院手套箱体改造等设备             </w:t>
      </w:r>
    </w:p>
    <w:p>
      <w:pPr>
        <w:pStyle w:val="23"/>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w:t>
      </w:r>
      <w:r>
        <w:rPr>
          <w:rFonts w:hint="eastAsia" w:ascii="宋体" w:hAnsi="宋体"/>
          <w:b w:val="0"/>
          <w:bCs/>
          <w:color w:val="FF0000"/>
          <w:sz w:val="24"/>
          <w:szCs w:val="24"/>
          <w:highlight w:val="none"/>
          <w:u w:val="single"/>
          <w:lang w:val="en-US" w:eastAsia="zh-CN"/>
        </w:rPr>
        <w:t>99300元</w:t>
      </w:r>
      <w:r>
        <w:rPr>
          <w:rFonts w:hint="eastAsia" w:ascii="宋体" w:hAnsi="宋体" w:eastAsia="宋体" w:cs="Times New Roman"/>
          <w:color w:val="FF0000"/>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13469"/>
      <w:bookmarkStart w:id="43" w:name="_Toc491700004"/>
      <w:bookmarkStart w:id="44" w:name="_Toc26626"/>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8"/>
        <w:tblW w:w="8924" w:type="dxa"/>
        <w:jc w:val="center"/>
        <w:tblLayout w:type="fixed"/>
        <w:tblCellMar>
          <w:top w:w="15" w:type="dxa"/>
          <w:left w:w="15" w:type="dxa"/>
          <w:bottom w:w="15" w:type="dxa"/>
          <w:right w:w="15" w:type="dxa"/>
        </w:tblCellMar>
      </w:tblPr>
      <w:tblGrid>
        <w:gridCol w:w="954"/>
        <w:gridCol w:w="1629"/>
        <w:gridCol w:w="1514"/>
        <w:gridCol w:w="1745"/>
        <w:gridCol w:w="1750"/>
        <w:gridCol w:w="1332"/>
      </w:tblGrid>
      <w:tr>
        <w:tblPrEx>
          <w:tblCellMar>
            <w:top w:w="15" w:type="dxa"/>
            <w:left w:w="15" w:type="dxa"/>
            <w:bottom w:w="15" w:type="dxa"/>
            <w:right w:w="15" w:type="dxa"/>
          </w:tblCellMar>
        </w:tblPrEx>
        <w:trPr>
          <w:cantSplit/>
          <w:trHeight w:val="725" w:hRule="atLeast"/>
          <w:jc w:val="center"/>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16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7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w:t>
            </w:r>
            <w:r>
              <w:rPr>
                <w:rFonts w:hint="eastAsia" w:ascii="宋体" w:hAnsi="宋体"/>
                <w:b/>
                <w:bCs/>
                <w:color w:val="auto"/>
                <w:highlight w:val="none"/>
                <w:lang w:val="en-US" w:eastAsia="zh-CN"/>
              </w:rPr>
              <w:t>单</w:t>
            </w:r>
            <w:r>
              <w:rPr>
                <w:rFonts w:hint="eastAsia" w:ascii="宋体" w:hAnsi="宋体"/>
                <w:b/>
                <w:bCs/>
                <w:color w:val="auto"/>
                <w:highlight w:val="none"/>
                <w:lang w:eastAsia="zh-CN"/>
              </w:rPr>
              <w:t>价（元）</w:t>
            </w:r>
          </w:p>
        </w:tc>
        <w:tc>
          <w:tcPr>
            <w:tcW w:w="17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w:t>
            </w:r>
            <w:r>
              <w:rPr>
                <w:rFonts w:hint="eastAsia" w:ascii="宋体" w:hAnsi="宋体"/>
                <w:b/>
                <w:bCs/>
                <w:color w:val="auto"/>
                <w:highlight w:val="none"/>
                <w:lang w:val="en-US" w:eastAsia="zh-CN"/>
              </w:rPr>
              <w:t>金额</w:t>
            </w:r>
            <w:r>
              <w:rPr>
                <w:rFonts w:hint="eastAsia" w:ascii="宋体" w:hAnsi="宋体"/>
                <w:b/>
                <w:bCs/>
                <w:color w:val="auto"/>
                <w:highlight w:val="none"/>
                <w:lang w:eastAsia="zh-CN"/>
              </w:rPr>
              <w:t>（元）</w:t>
            </w:r>
          </w:p>
        </w:tc>
        <w:tc>
          <w:tcPr>
            <w:tcW w:w="13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533" w:hRule="atLeast"/>
          <w:jc w:val="center"/>
        </w:trPr>
        <w:tc>
          <w:tcPr>
            <w:tcW w:w="954"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1629"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lang w:val="en-US" w:eastAsia="zh-CN"/>
              </w:rPr>
              <w:t>手套箱体改造</w:t>
            </w:r>
          </w:p>
        </w:tc>
        <w:tc>
          <w:tcPr>
            <w:tcW w:w="1514"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lang w:val="en-US" w:eastAsia="zh-CN"/>
              </w:rPr>
              <w:t>1</w:t>
            </w:r>
          </w:p>
        </w:tc>
        <w:tc>
          <w:tcPr>
            <w:tcW w:w="1745"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default"/>
                <w:lang w:val="en-US" w:eastAsia="zh-CN"/>
              </w:rPr>
            </w:pPr>
            <w:r>
              <w:rPr>
                <w:rFonts w:hint="eastAsia"/>
                <w:lang w:val="en-US" w:eastAsia="zh-CN"/>
              </w:rPr>
              <w:t>49300</w:t>
            </w:r>
          </w:p>
        </w:tc>
        <w:tc>
          <w:tcPr>
            <w:tcW w:w="1750"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default"/>
                <w:lang w:val="en-US" w:eastAsia="zh-CN"/>
              </w:rPr>
            </w:pPr>
            <w:r>
              <w:rPr>
                <w:rFonts w:hint="eastAsia"/>
                <w:lang w:val="en-US" w:eastAsia="zh-CN"/>
              </w:rPr>
              <w:t>49300</w:t>
            </w:r>
          </w:p>
        </w:tc>
        <w:tc>
          <w:tcPr>
            <w:tcW w:w="1332" w:type="dxa"/>
            <w:vMerge w:val="restart"/>
            <w:tcBorders>
              <w:top w:val="nil"/>
              <w:left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FF0000"/>
                <w:highlight w:val="none"/>
              </w:rPr>
              <w:t>详见询价文件第</w:t>
            </w:r>
            <w:r>
              <w:rPr>
                <w:rFonts w:hint="eastAsia" w:ascii="宋体" w:hAnsi="宋体"/>
                <w:color w:val="FF0000"/>
                <w:highlight w:val="none"/>
                <w:lang w:eastAsia="zh-CN"/>
              </w:rPr>
              <w:t>三</w:t>
            </w:r>
            <w:r>
              <w:rPr>
                <w:rFonts w:hint="eastAsia" w:ascii="宋体" w:hAnsi="宋体"/>
                <w:color w:val="FF0000"/>
                <w:highlight w:val="none"/>
              </w:rPr>
              <w:t>部分要求</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p>
        </w:tc>
      </w:tr>
      <w:tr>
        <w:tblPrEx>
          <w:tblCellMar>
            <w:top w:w="15" w:type="dxa"/>
            <w:left w:w="15" w:type="dxa"/>
            <w:bottom w:w="15" w:type="dxa"/>
            <w:right w:w="15" w:type="dxa"/>
          </w:tblCellMar>
        </w:tblPrEx>
        <w:trPr>
          <w:cantSplit/>
          <w:trHeight w:val="519" w:hRule="atLeast"/>
          <w:jc w:val="center"/>
        </w:trPr>
        <w:tc>
          <w:tcPr>
            <w:tcW w:w="954"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1629"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lang w:val="en-US" w:eastAsia="zh-CN"/>
              </w:rPr>
              <w:t>磁力搅拌器</w:t>
            </w:r>
          </w:p>
        </w:tc>
        <w:tc>
          <w:tcPr>
            <w:tcW w:w="1514"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lang w:val="en-US" w:eastAsia="zh-CN"/>
              </w:rPr>
              <w:t>1</w:t>
            </w:r>
          </w:p>
        </w:tc>
        <w:tc>
          <w:tcPr>
            <w:tcW w:w="1745"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default" w:ascii="宋体" w:hAnsi="宋体" w:eastAsia="宋体"/>
                <w:color w:val="FF0000"/>
                <w:highlight w:val="none"/>
                <w:lang w:val="en-US" w:eastAsia="zh-CN"/>
              </w:rPr>
            </w:pPr>
            <w:r>
              <w:rPr>
                <w:rFonts w:hint="eastAsia"/>
                <w:lang w:val="en-US" w:eastAsia="zh-CN"/>
              </w:rPr>
              <w:t>10000</w:t>
            </w:r>
          </w:p>
        </w:tc>
        <w:tc>
          <w:tcPr>
            <w:tcW w:w="1750"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default" w:ascii="宋体" w:hAnsi="宋体" w:eastAsia="宋体"/>
                <w:color w:val="FF0000"/>
                <w:highlight w:val="none"/>
                <w:lang w:val="en-US" w:eastAsia="zh-CN"/>
              </w:rPr>
            </w:pPr>
            <w:r>
              <w:rPr>
                <w:rFonts w:hint="eastAsia"/>
                <w:lang w:val="en-US" w:eastAsia="zh-CN"/>
              </w:rPr>
              <w:t>10000</w:t>
            </w:r>
          </w:p>
        </w:tc>
        <w:tc>
          <w:tcPr>
            <w:tcW w:w="1332" w:type="dxa"/>
            <w:vMerge w:val="continue"/>
            <w:tcBorders>
              <w:left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p>
        </w:tc>
      </w:tr>
      <w:tr>
        <w:tblPrEx>
          <w:tblCellMar>
            <w:top w:w="15" w:type="dxa"/>
            <w:left w:w="15" w:type="dxa"/>
            <w:bottom w:w="15" w:type="dxa"/>
            <w:right w:w="15" w:type="dxa"/>
          </w:tblCellMar>
        </w:tblPrEx>
        <w:trPr>
          <w:cantSplit/>
          <w:trHeight w:val="532" w:hRule="atLeast"/>
          <w:jc w:val="center"/>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1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lang w:val="en-US" w:eastAsia="zh-CN"/>
              </w:rPr>
              <w:t>台式匀胶机</w:t>
            </w:r>
          </w:p>
        </w:tc>
        <w:tc>
          <w:tcPr>
            <w:tcW w:w="15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lang w:val="en-US" w:eastAsia="zh-CN"/>
              </w:rPr>
              <w:t>2</w:t>
            </w:r>
          </w:p>
        </w:tc>
        <w:tc>
          <w:tcPr>
            <w:tcW w:w="17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宋体" w:hAnsi="宋体" w:eastAsia="宋体"/>
                <w:color w:val="FF0000"/>
                <w:highlight w:val="none"/>
                <w:lang w:val="en-US" w:eastAsia="zh-CN"/>
              </w:rPr>
            </w:pPr>
            <w:r>
              <w:rPr>
                <w:rFonts w:hint="eastAsia"/>
                <w:lang w:val="en-US" w:eastAsia="zh-CN"/>
              </w:rPr>
              <w:t>20000</w:t>
            </w:r>
          </w:p>
        </w:tc>
        <w:tc>
          <w:tcPr>
            <w:tcW w:w="1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宋体" w:hAnsi="宋体" w:eastAsia="宋体"/>
                <w:color w:val="FF0000"/>
                <w:highlight w:val="none"/>
                <w:lang w:val="en-US" w:eastAsia="zh-CN"/>
              </w:rPr>
            </w:pPr>
            <w:r>
              <w:rPr>
                <w:rFonts w:hint="eastAsia"/>
                <w:lang w:val="en-US" w:eastAsia="zh-CN"/>
              </w:rPr>
              <w:t>20000</w:t>
            </w:r>
          </w:p>
        </w:tc>
        <w:tc>
          <w:tcPr>
            <w:tcW w:w="1332"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22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22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FF0000"/>
          <w:sz w:val="24"/>
          <w:szCs w:val="24"/>
          <w:highlight w:val="none"/>
          <w:u w:val="single"/>
          <w:lang w:val="en-US" w:eastAsia="zh-CN"/>
        </w:rPr>
        <w:t>千墅205。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  姚广平   </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 xml:space="preserve"> 19959882058  </w:t>
      </w:r>
      <w:r>
        <w:rPr>
          <w:rFonts w:hint="eastAsia" w:ascii="宋体" w:hAnsi="宋体" w:cs="宋体"/>
          <w:color w:val="FF0000"/>
          <w:kern w:val="2"/>
          <w:sz w:val="24"/>
          <w:szCs w:val="24"/>
          <w:highlight w:val="none"/>
          <w:lang w:val="zh-CN" w:eastAsia="zh-CN" w:bidi="ar-SA"/>
        </w:rPr>
        <w:t>。</w:t>
      </w:r>
    </w:p>
    <w:p>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default"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物信学院</w:t>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b/>
                <w:bCs/>
                <w:color w:val="FF0000"/>
                <w:sz w:val="24"/>
                <w:highlight w:val="none"/>
                <w:lang w:val="en-US" w:eastAsia="zh-CN"/>
              </w:rPr>
              <w:t>无</w:t>
            </w:r>
            <w:r>
              <w:rPr>
                <w:rFonts w:hint="eastAsia" w:ascii="宋体" w:hAnsi="宋体"/>
                <w:b/>
                <w:bCs/>
                <w:color w:val="FF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5918"/>
      <w:bookmarkStart w:id="49" w:name="_Toc12454"/>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pPr>
        <w:rPr>
          <w:rFonts w:hint="eastAsia" w:ascii="宋体" w:hAnsi="宋体" w:eastAsia="宋体"/>
          <w:color w:val="auto"/>
          <w:sz w:val="24"/>
          <w:szCs w:val="24"/>
          <w:highlight w:val="none"/>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（一）手套箱箱体改造：</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w:t>
      </w:r>
      <w:r>
        <w:rPr>
          <w:rFonts w:hint="eastAsia" w:ascii="宋体" w:hAnsi="宋体"/>
          <w:b/>
          <w:color w:val="FF0000"/>
          <w:kern w:val="0"/>
          <w:sz w:val="24"/>
          <w:lang w:val="en-US" w:eastAsia="zh-CN"/>
        </w:rPr>
        <w:tab/>
      </w:r>
      <w:r>
        <w:rPr>
          <w:rFonts w:hint="eastAsia" w:ascii="宋体" w:hAnsi="宋体"/>
          <w:b/>
          <w:color w:val="FF0000"/>
          <w:kern w:val="0"/>
          <w:sz w:val="24"/>
          <w:lang w:val="en-US" w:eastAsia="zh-CN"/>
        </w:rPr>
        <w:t>单工位箱体，尺寸：长度：1220mm，深度：750mm，高度：900mm；箱体材料：304 不锈钢，厚度 3mm</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w:t>
      </w:r>
      <w:r>
        <w:rPr>
          <w:rFonts w:hint="eastAsia" w:ascii="宋体" w:hAnsi="宋体"/>
          <w:b/>
          <w:color w:val="FF0000"/>
          <w:kern w:val="0"/>
          <w:sz w:val="24"/>
          <w:lang w:val="en-US" w:eastAsia="zh-CN"/>
        </w:rPr>
        <w:tab/>
      </w:r>
      <w:r>
        <w:rPr>
          <w:rFonts w:hint="eastAsia" w:ascii="宋体" w:hAnsi="宋体"/>
          <w:b/>
          <w:color w:val="FF0000"/>
          <w:kern w:val="0"/>
          <w:sz w:val="24"/>
          <w:lang w:val="en-US" w:eastAsia="zh-CN"/>
        </w:rPr>
        <w:t>手套：丁基橡胶材质，美国进口</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3、</w:t>
      </w:r>
      <w:r>
        <w:rPr>
          <w:rFonts w:hint="eastAsia" w:ascii="宋体" w:hAnsi="宋体"/>
          <w:b/>
          <w:color w:val="FF0000"/>
          <w:kern w:val="0"/>
          <w:sz w:val="24"/>
          <w:lang w:val="en-US" w:eastAsia="zh-CN"/>
        </w:rPr>
        <w:tab/>
      </w:r>
      <w:r>
        <w:rPr>
          <w:rFonts w:hint="eastAsia" w:ascii="宋体" w:hAnsi="宋体"/>
          <w:b/>
          <w:color w:val="FF0000"/>
          <w:kern w:val="0"/>
          <w:sz w:val="24"/>
          <w:lang w:val="en-US" w:eastAsia="zh-CN"/>
        </w:rPr>
        <w:t>倾斜的视窗，透明钢化安全玻璃，厚度8 mm</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4、</w:t>
      </w:r>
      <w:r>
        <w:rPr>
          <w:rFonts w:hint="eastAsia" w:ascii="宋体" w:hAnsi="宋体"/>
          <w:b/>
          <w:color w:val="FF0000"/>
          <w:kern w:val="0"/>
          <w:sz w:val="24"/>
          <w:lang w:val="en-US" w:eastAsia="zh-CN"/>
        </w:rPr>
        <w:tab/>
      </w:r>
      <w:r>
        <w:rPr>
          <w:rFonts w:hint="eastAsia" w:ascii="宋体" w:hAnsi="宋体"/>
          <w:b/>
          <w:color w:val="FF0000"/>
          <w:kern w:val="0"/>
          <w:sz w:val="24"/>
          <w:lang w:val="en-US" w:eastAsia="zh-CN"/>
        </w:rPr>
        <w:t>手套口：铝合金材质，O型圈密封</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5、</w:t>
      </w:r>
      <w:r>
        <w:rPr>
          <w:rFonts w:hint="eastAsia" w:ascii="宋体" w:hAnsi="宋体"/>
          <w:b/>
          <w:color w:val="FF0000"/>
          <w:kern w:val="0"/>
          <w:sz w:val="24"/>
          <w:lang w:val="en-US" w:eastAsia="zh-CN"/>
        </w:rPr>
        <w:tab/>
      </w:r>
      <w:r>
        <w:rPr>
          <w:rFonts w:hint="eastAsia" w:ascii="宋体" w:hAnsi="宋体"/>
          <w:b/>
          <w:color w:val="FF0000"/>
          <w:kern w:val="0"/>
          <w:sz w:val="24"/>
          <w:lang w:val="en-US" w:eastAsia="zh-CN"/>
        </w:rPr>
        <w:t>工业空调系统：集成于箱体顶部，高效旋转式压缩机，高换热系数热交换器，高阻抗风机，箱内温度可以调范围：15-36℃</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6、</w:t>
      </w:r>
      <w:r>
        <w:rPr>
          <w:rFonts w:hint="eastAsia" w:ascii="宋体" w:hAnsi="宋体"/>
          <w:b/>
          <w:color w:val="FF0000"/>
          <w:kern w:val="0"/>
          <w:sz w:val="24"/>
          <w:lang w:val="en-US" w:eastAsia="zh-CN"/>
        </w:rPr>
        <w:tab/>
      </w:r>
      <w:r>
        <w:rPr>
          <w:rFonts w:hint="eastAsia" w:ascii="宋体" w:hAnsi="宋体"/>
          <w:b/>
          <w:color w:val="FF0000"/>
          <w:kern w:val="0"/>
          <w:sz w:val="24"/>
          <w:lang w:val="en-US" w:eastAsia="zh-CN"/>
        </w:rPr>
        <w:t>箱子与现场设备无缝对接集成在一套完整的设备，并提供承诺函。</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7、投标人需自行到用户现场进行现场踏勘。</w:t>
      </w:r>
    </w:p>
    <w:p>
      <w:pPr>
        <w:pStyle w:val="23"/>
        <w:rPr>
          <w:rFonts w:hint="eastAsia" w:ascii="宋体" w:hAnsi="宋体"/>
          <w:b/>
          <w:color w:val="FF0000"/>
          <w:kern w:val="0"/>
          <w:sz w:val="24"/>
          <w:lang w:val="en-US" w:eastAsia="zh-CN"/>
        </w:rPr>
      </w:pP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（二）磁力搅拌器：</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1、产品介绍：</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1.1 固定安全温度：温度超过550℃即停止加热</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1.2 热警显示：加热时指示灯闪烁，警告用户加热盘高温，不可触摸</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1.3 数字显示：便于精确控制或重复设置温度</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1.4 强力马达：搅拌粘性物料，最大搅拌量为10L（水）</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1.5 强磁力：有效防止跳子</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1.6 微处理控制：马达转速和加热盘信号反馈，以保证恒速运转和保持设置温度</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2、技术要求：</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2.1搅拌点位数目：≥1</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最大搅拌量 (H2O)：≥10</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电机输出功率：≥1.5</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旋转方向：左</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转速控制：刻度 0 - 6</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速度范围：≥100 - 1500</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搅拌子最大长度mm：≥80</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温度显示设定值：LED</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加热输出功率：≥1000w</w:t>
      </w:r>
    </w:p>
    <w:p>
      <w:pPr>
        <w:pStyle w:val="23"/>
        <w:rPr>
          <w:rFonts w:hint="eastAsia" w:ascii="宋体" w:hAnsi="宋体"/>
          <w:b/>
          <w:color w:val="FF0000"/>
          <w:kern w:val="0"/>
          <w:sz w:val="24"/>
          <w:lang w:val="en-US" w:eastAsia="zh-CN"/>
        </w:rPr>
      </w:pP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（三）台式匀胶机：</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带防飞片保护与报警、带防进胶保护与报警、电机可正反转、配方带掉电保护功能、加速度可调</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1、技术要求：</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基片尺寸：5-150mm</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速度范围：1-10000RPM</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转速精度：≤1RPM</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转速稳定度：±0.1%</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加速度范围：1-10000RPM/S</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胶均匀性：±1%</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人机界面：≥4.3寸触摸屏</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通信接口：可接无线鼠标键盘：机器可放于手套箱内,同时客户可在手套箱外远程操作机器</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旋转方向：支持正反转</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触控笔：BAMBOO电阻笔(标配)</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真空泵：SC-550V无油泵</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设置数据：无限组数据，每组10段转速(标配)</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每段时间：0-10000秒</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存储数据：无限组数据</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匀胶机交流供电口：AC100-250V</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 xml:space="preserve">真空泵交流供电口：AC220V(标配) </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匀胶机功率：200W</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真空泵功率：350W</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真空泵抽速：≥60L/MIN</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匀胶机体积：≥210mm(W)X220mm(D)X160mm(H)</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匀胶机重量：≥10KG</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泵重量：≥9KG</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放置于桌面：可通过自带水平仪调节机器水平</w:t>
      </w:r>
    </w:p>
    <w:p>
      <w:pPr>
        <w:pStyle w:val="23"/>
        <w:rPr>
          <w:rFonts w:hint="eastAsia" w:ascii="宋体" w:hAnsi="宋体"/>
          <w:b/>
          <w:color w:val="FF0000"/>
          <w:kern w:val="0"/>
          <w:sz w:val="24"/>
          <w:lang w:val="en-US" w:eastAsia="zh-CN"/>
        </w:rPr>
      </w:pPr>
    </w:p>
    <w:p>
      <w:pPr>
        <w:pStyle w:val="23"/>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pPr>
        <w:spacing w:line="440" w:lineRule="exact"/>
        <w:rPr>
          <w:rFonts w:hint="eastAsia" w:ascii="宋体" w:hAnsi="宋体" w:eastAsia="宋体"/>
          <w:b/>
          <w:bCs/>
          <w:color w:val="FF0000"/>
          <w:sz w:val="24"/>
          <w:lang w:val="en-US" w:eastAsia="zh-CN"/>
        </w:rPr>
      </w:pPr>
      <w:bookmarkStart w:id="52" w:name="_Toc358109805"/>
      <w:bookmarkStart w:id="53" w:name="_Toc394319916"/>
      <w:bookmarkStart w:id="54" w:name="_Toc425276504"/>
      <w:bookmarkStart w:id="55" w:name="_Toc57451666"/>
      <w:bookmarkStart w:id="56" w:name="_Toc478753855"/>
      <w:bookmarkStart w:id="57" w:name="_Toc416379639"/>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pPr>
        <w:spacing w:line="440" w:lineRule="exact"/>
        <w:ind w:firstLine="480" w:firstLineChars="200"/>
        <w:rPr>
          <w:rFonts w:hint="eastAsia" w:hAnsi="宋体" w:eastAsia="宋体"/>
          <w:color w:val="auto"/>
          <w:sz w:val="24"/>
          <w:lang w:val="en-US" w:eastAsia="zh-CN"/>
        </w:rPr>
      </w:pPr>
      <w:bookmarkStart w:id="58" w:name="_Toc430269118"/>
      <w:bookmarkStart w:id="59" w:name="_Toc430269287"/>
      <w:bookmarkStart w:id="60" w:name="_Toc285393068"/>
      <w:bookmarkStart w:id="61" w:name="_Toc394319918"/>
      <w:bookmarkStart w:id="62" w:name="_Toc358109807"/>
      <w:bookmarkStart w:id="63" w:name="_Toc491700052"/>
      <w:bookmarkStart w:id="64" w:name="_Toc394319917"/>
      <w:bookmarkStart w:id="65" w:name="_Toc358109806"/>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val="en-US" w:eastAsia="zh-CN"/>
        </w:rPr>
        <w:t>中华人民共和国</w:t>
      </w:r>
      <w:bookmarkStart w:id="102" w:name="_GoBack"/>
      <w:bookmarkEnd w:id="102"/>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pPr>
        <w:pStyle w:val="23"/>
        <w:rPr>
          <w:rFonts w:hint="default" w:ascii="宋体" w:hAnsi="宋体" w:eastAsia="宋体" w:cs="Times New Roman"/>
          <w:b/>
          <w:color w:val="FF0000"/>
          <w:kern w:val="0"/>
          <w:sz w:val="24"/>
          <w:szCs w:val="24"/>
          <w:lang w:val="en-US" w:eastAsia="zh-CN" w:bidi="ar-SA"/>
        </w:rPr>
      </w:pPr>
      <w:r>
        <w:rPr>
          <w:rFonts w:hint="eastAsia" w:ascii="宋体" w:hAnsi="宋体" w:eastAsia="宋体" w:cs="Times New Roman"/>
          <w:b/>
          <w:color w:val="FF0000"/>
          <w:kern w:val="0"/>
          <w:sz w:val="24"/>
          <w:szCs w:val="24"/>
          <w:lang w:val="en-US" w:eastAsia="zh-CN" w:bidi="ar-SA"/>
        </w:rPr>
        <w:t>地点：泉州师范学院邱天生439、千墅304</w:t>
      </w:r>
    </w:p>
    <w:p>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时间：合同签订后15个工作日内。</w:t>
      </w:r>
    </w:p>
    <w:p>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验收合格后，15个工作日内安排付款</w:t>
      </w:r>
    </w:p>
    <w:p>
      <w:pPr>
        <w:spacing w:line="440" w:lineRule="exact"/>
        <w:rPr>
          <w:rFonts w:hint="eastAsia" w:ascii="宋体" w:hAnsi="宋体"/>
          <w:b/>
          <w:color w:val="FF0000"/>
          <w:kern w:val="0"/>
          <w:sz w:val="24"/>
          <w:lang w:val="en-US" w:eastAsia="zh-CN"/>
        </w:rPr>
      </w:pP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6"/>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376"/>
      <w:bookmarkStart w:id="71" w:name="_Toc14215"/>
      <w:bookmarkStart w:id="72" w:name="_Toc12112"/>
      <w:bookmarkStart w:id="73" w:name="_Toc29646"/>
      <w:bookmarkStart w:id="74" w:name="_Toc1606"/>
      <w:bookmarkStart w:id="75" w:name="_Toc502907889"/>
      <w:bookmarkStart w:id="76" w:name="_Toc432513145"/>
      <w:bookmarkStart w:id="77" w:name="_Toc372013039"/>
      <w:bookmarkStart w:id="78" w:name="_Toc373141305"/>
      <w:bookmarkStart w:id="79" w:name="_Toc39372715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6"/>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3"/>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0566"/>
      <w:bookmarkStart w:id="81" w:name="_Toc26916"/>
      <w:bookmarkStart w:id="82" w:name="_Toc13976"/>
      <w:bookmarkStart w:id="83" w:name="_Toc4358"/>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102"/>
      <w:bookmarkStart w:id="89" w:name="_Toc24037"/>
      <w:bookmarkStart w:id="90" w:name="_Toc24019"/>
      <w:bookmarkStart w:id="91" w:name="_Toc373141312"/>
      <w:bookmarkStart w:id="92" w:name="_Toc432513149"/>
      <w:bookmarkStart w:id="93" w:name="_Toc23010"/>
      <w:bookmarkStart w:id="94" w:name="_Toc145132116"/>
      <w:bookmarkStart w:id="95" w:name="_Toc372013046"/>
      <w:bookmarkStart w:id="96" w:name="_Toc502907895"/>
      <w:bookmarkStart w:id="97" w:name="_Toc393727163"/>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3141"/>
      <w:bookmarkStart w:id="99" w:name="_Toc30609"/>
      <w:bookmarkStart w:id="100" w:name="_Toc15327"/>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1"/>
      </w:rPr>
    </w:pPr>
    <w:r>
      <w:fldChar w:fldCharType="begin"/>
    </w:r>
    <w:r>
      <w:rPr>
        <w:rStyle w:val="21"/>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JhYzM4OGI4YzQ3OWIyM2M3MzM0YzViYzI2MjQifQ=="/>
  </w:docVars>
  <w:rsids>
    <w:rsidRoot w:val="59835B2E"/>
    <w:rsid w:val="034E4A21"/>
    <w:rsid w:val="083B0126"/>
    <w:rsid w:val="0E8D13D6"/>
    <w:rsid w:val="0F44355D"/>
    <w:rsid w:val="115376E2"/>
    <w:rsid w:val="16F7028D"/>
    <w:rsid w:val="173A664E"/>
    <w:rsid w:val="1C4B3D8B"/>
    <w:rsid w:val="1D974856"/>
    <w:rsid w:val="1DD464FF"/>
    <w:rsid w:val="26C65FA6"/>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1604EC"/>
    <w:rsid w:val="726C6FA6"/>
    <w:rsid w:val="731E2BC7"/>
    <w:rsid w:val="736C78EA"/>
    <w:rsid w:val="73904B42"/>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Body Text Indent"/>
    <w:basedOn w:val="1"/>
    <w:autoRedefine/>
    <w:qFormat/>
    <w:uiPriority w:val="0"/>
    <w:pPr>
      <w:ind w:firstLine="560" w:firstLineChars="200"/>
    </w:pPr>
    <w:rPr>
      <w:rFonts w:ascii="宋体" w:hAnsi="宋体"/>
      <w:sz w:val="28"/>
    </w:rPr>
  </w:style>
  <w:style w:type="paragraph" w:styleId="8">
    <w:name w:val="Date"/>
    <w:basedOn w:val="1"/>
    <w:next w:val="1"/>
    <w:autoRedefine/>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5"/>
    <w:next w:val="5"/>
    <w:qFormat/>
    <w:uiPriority w:val="0"/>
    <w:rPr>
      <w:rFonts w:ascii="宋体" w:hAnsi="Courier New"/>
      <w:szCs w:val="20"/>
    </w:rPr>
  </w:style>
  <w:style w:type="paragraph" w:styleId="16">
    <w:name w:val="Body Text First Indent"/>
    <w:basedOn w:val="6"/>
    <w:unhideWhenUsed/>
    <w:qFormat/>
    <w:uiPriority w:val="0"/>
    <w:pPr>
      <w:ind w:firstLine="420" w:firstLineChars="100"/>
    </w:pPr>
  </w:style>
  <w:style w:type="paragraph" w:styleId="17">
    <w:name w:val="Body Text First Indent 2"/>
    <w:basedOn w:val="7"/>
    <w:autoRedefine/>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autoRedefine/>
    <w:qFormat/>
    <w:uiPriority w:val="0"/>
    <w:rPr>
      <w:b/>
    </w:rPr>
  </w:style>
  <w:style w:type="character" w:styleId="21">
    <w:name w:val="page number"/>
    <w:autoRedefine/>
    <w:qFormat/>
    <w:uiPriority w:val="0"/>
  </w:style>
  <w:style w:type="character" w:styleId="22">
    <w:name w:val="Hyperlink"/>
    <w:autoRedefine/>
    <w:qFormat/>
    <w:uiPriority w:val="99"/>
    <w:rPr>
      <w:color w:val="0000FF"/>
      <w:u w:val="single"/>
    </w:rPr>
  </w:style>
  <w:style w:type="paragraph" w:customStyle="1" w:styleId="23">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autoRedefine/>
    <w:qFormat/>
    <w:uiPriority w:val="0"/>
    <w:pPr>
      <w:spacing w:after="156"/>
      <w:ind w:firstLine="480"/>
    </w:pPr>
    <w:rPr>
      <w:sz w:val="24"/>
      <w:szCs w:val="20"/>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6093</Words>
  <Characters>6168</Characters>
  <Lines>0</Lines>
  <Paragraphs>0</Paragraphs>
  <TotalTime>0</TotalTime>
  <ScaleCrop>false</ScaleCrop>
  <LinksUpToDate>false</LinksUpToDate>
  <CharactersWithSpaces>7789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Prophet1415716926</cp:lastModifiedBy>
  <cp:lastPrinted>2021-11-24T07:21:00Z</cp:lastPrinted>
  <dcterms:modified xsi:type="dcterms:W3CDTF">2024-04-02T11:52:00Z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1D74DC218C9B4B4FA60CAE48B8569FF5</vt:lpwstr>
  </property>
</Properties>
</file>